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  <w:pBdr>
          <w:bottom w:val="single" w:sz="18" w:space="4" w:color="E21D2B"/>
        </w:pBdr>
      </w:pPr>
      <w:r>
        <w:t>Plain-Language Insurance Glossary</w:t>
      </w:r>
    </w:p>
    <w:p>
      <w:pPr>
        <w:spacing w:after="280"/>
      </w:pPr>
      <w:r>
        <w:rPr>
          <w:i/>
          <w:color w:val="5B677A"/>
          <w:sz w:val="22"/>
        </w:rPr>
        <w:t>Common terms for group benefits, life insurance, supplemental coverage and Medicare.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tcMar>
              <w:top w:w="70" w:type="dxa"/>
              <w:start w:w="140" w:type="dxa"/>
              <w:bottom w:w="70" w:type="dxa"/>
              <w:end w:w="140" w:type="dxa"/>
            </w:tcMar>
            <w:shd w:fill="EEF4FA"/>
          </w:tcPr>
          <w:p>
            <w:r>
              <w:rPr>
                <w:b/>
                <w:color w:val="052B63"/>
              </w:rPr>
              <w:t>How to use this guide</w:t>
              <w:br/>
            </w:r>
            <w:r>
              <w:rPr>
                <w:sz w:val="20"/>
              </w:rPr>
              <w:t>Insurance contracts and plan documents control coverage. These short definitions are educational and may vary by policy, carrier, plan or state.</w:t>
            </w:r>
          </w:p>
        </w:tc>
      </w:tr>
    </w:tbl>
    <w:p>
      <w:pPr>
        <w:pStyle w:val="Heading1"/>
      </w:pPr>
      <w:r>
        <w:t>General Insurance Terms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00"/>
        <w:gridCol w:w="6660"/>
      </w:tblGrid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Beneficiary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person or organization designated to receive a life insurance benefit.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Carrier / Insurer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insurance company that issues the policy or plan.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Claim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request for payment or benefits under an insurance policy.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Coverage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protection and benefits provided by an insurance policy or plan.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Effective Date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date coverage begins, subject to the policy’s terms.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Exclusion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condition, service, event or circumstance the policy does not cover.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Policyholder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person or organization that owns the insurance policy.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Premium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amount paid to keep insurance coverage in force.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Rider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An optional provision that changes or adds benefits to a policy.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Underwriting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process an insurer uses to evaluate risk and determine eligibility, terms and pricing.</w:t>
            </w:r>
          </w:p>
        </w:tc>
      </w:tr>
    </w:tbl>
    <w:p>
      <w:pPr>
        <w:pStyle w:val="Heading1"/>
      </w:pPr>
      <w:r>
        <w:t>Health &amp; Employee Benefits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00"/>
        <w:gridCol w:w="6660"/>
      </w:tblGrid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Coinsurance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percentage of the allowed cost for a covered service that the insured pays after any applicable deductible.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Copayment / Copay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fixed amount paid for a covered service or prescription.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Deductible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amount paid for covered services before the plan begins paying according to its terms.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Dependent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qualifying family member who may be enrolled under an employee’s plan.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Employer Contribution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portion of an employee’s premium paid by the employer.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Enrollment Period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defined time when eligible people may enroll in or change coverage.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In-Network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Providers that have contracted with a health plan to provide services at negotiated rates.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Out-of-Pocket Maximum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most a member generally pays during a plan year for covered in-network services counted toward the limit.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Provider Network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doctors, hospitals and other providers contracted with a health plan.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Supplemental Insurance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Coverage designed to pay additional benefits for specified events or expenses, such as accidents, critical illness or cancer.</w:t>
            </w:r>
          </w:p>
        </w:tc>
      </w:tr>
    </w:tbl>
    <w:p>
      <w:pPr>
        <w:pStyle w:val="Heading1"/>
      </w:pPr>
      <w:r>
        <w:t>Life Insurance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00"/>
        <w:gridCol w:w="6660"/>
      </w:tblGrid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Death Benefit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amount payable to the beneficiary when the insured dies, subject to the policy’s terms.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Final Expense Insurance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Life insurance intended to help with funeral and other end-of-life expenses.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Group Life Insurance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Life insurance offered to eligible members of a group, often through an employer.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Permanent Life Insurance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Life insurance designed to remain in force for life when required premiums and policy conditions are met.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Term Life Insurance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Life insurance providing coverage for a stated period.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Whole Life Insurance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form of permanent life insurance with set premiums and cash-value features described in the policy.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Universal Life Insurance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form of permanent life insurance that may offer flexible premiums or benefits within policy limits.</w:t>
            </w:r>
          </w:p>
        </w:tc>
      </w:tr>
    </w:tbl>
    <w:p>
      <w:pPr>
        <w:pStyle w:val="Heading1"/>
      </w:pPr>
      <w:r>
        <w:t>Medicare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00"/>
        <w:gridCol w:w="6660"/>
      </w:tblGrid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Original Medicare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Federal health coverage consisting of Part A and Part B.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Medicare Advantage (Part C)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Medicare-approved private-plan alternative for receiving Part A and Part B benefits, often with additional benefits.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Medicare Part A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Hospital insurance that helps cover eligible inpatient hospital care and certain other services.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Medicare Part B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Medical insurance that helps cover eligible doctor services, outpatient care, preventive services and certain equipment.</w:t>
            </w:r>
          </w:p>
        </w:tc>
      </w:tr>
      <w:tr>
        <w:tc>
          <w:tcPr>
            <w:tcW w:type="dxa" w:w="270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Medicare Part D</w:t>
            </w:r>
          </w:p>
        </w:tc>
        <w:tc>
          <w:tcPr>
            <w:tcW w:type="dxa" w:w="6660"/>
            <w:shd w:fill="F7F9FC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Prescription-drug coverage offered through approved private plans.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Medigap / Medicare Supplement</w:t>
            </w:r>
          </w:p>
        </w:tc>
        <w:tc>
          <w:tcPr>
            <w:tcW w:type="dxa" w:w="6660"/>
            <w:vAlign w:val="center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Private insurance that helps pay certain out-of-pocket costs in Original Medicare.</w:t>
            </w:r>
          </w:p>
        </w:tc>
      </w:tr>
    </w:tbl>
    <w:p>
      <w:pPr>
        <w:pStyle w:val="Heading1"/>
      </w:pPr>
      <w:r>
        <w:t>Quick Comparisons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00"/>
        <w:gridCol w:w="6660"/>
      </w:tblGrid>
      <w:tr>
        <w:tc>
          <w:tcPr>
            <w:tcW w:type="dxa" w:w="2700"/>
            <w:shd w:fill="F7F9FC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Copay vs. coinsurance</w:t>
            </w:r>
          </w:p>
        </w:tc>
        <w:tc>
          <w:tcPr>
            <w:tcW w:type="dxa" w:w="6660"/>
            <w:shd w:fill="F7F9FC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A copay is generally a fixed amount; coinsurance is generally a percentage of the allowed cost.</w:t>
            </w:r>
          </w:p>
        </w:tc>
      </w:tr>
      <w:tr>
        <w:tc>
          <w:tcPr>
            <w:tcW w:type="dxa" w:w="2700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Deductible vs. out-of-pocket maximum</w:t>
            </w:r>
          </w:p>
        </w:tc>
        <w:tc>
          <w:tcPr>
            <w:tcW w:type="dxa" w:w="6660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The deductible is an amount paid before plan cost-sharing begins; the out-of-pocket maximum is a yearly limit on certain covered member costs.</w:t>
            </w:r>
          </w:p>
        </w:tc>
      </w:tr>
      <w:tr>
        <w:tc>
          <w:tcPr>
            <w:tcW w:type="dxa" w:w="2700"/>
            <w:shd w:fill="F7F9FC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Term vs. permanent life</w:t>
            </w:r>
          </w:p>
        </w:tc>
        <w:tc>
          <w:tcPr>
            <w:tcW w:type="dxa" w:w="6660"/>
            <w:shd w:fill="F7F9FC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Term coverage lasts for a stated period; permanent coverage is designed to last for life when policy requirements are met.</w:t>
            </w:r>
          </w:p>
        </w:tc>
      </w:tr>
      <w:tr>
        <w:tc>
          <w:tcPr>
            <w:tcW w:type="dxa" w:w="2700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rPr>
                <w:b/>
                <w:color w:val="052B63"/>
              </w:rPr>
              <w:t>Original Medicare vs. Medicare Advantage</w:t>
            </w:r>
          </w:p>
        </w:tc>
        <w:tc>
          <w:tcPr>
            <w:tcW w:type="dxa" w:w="6660"/>
            <w:tcMar>
              <w:top w:w="70" w:type="dxa"/>
              <w:start w:w="140" w:type="dxa"/>
              <w:bottom w:w="70" w:type="dxa"/>
              <w:end w:w="140" w:type="dxa"/>
            </w:tcMar>
          </w:tcPr>
          <w:p>
            <w:r>
              <w:t>Original Medicare is Part A and Part B through the federal program; Medicare Advantage delivers those benefits through a Medicare-approved private plan.</w:t>
            </w:r>
          </w:p>
        </w:tc>
      </w:tr>
    </w:tbl>
    <w:p>
      <w:pPr>
        <w:spacing w:before="160"/>
      </w:pPr>
      <w:r>
        <w:rPr>
          <w:b/>
          <w:color w:val="052B63"/>
        </w:rPr>
        <w:t xml:space="preserve">Questions?  </w:t>
      </w:r>
      <w:r>
        <w:t xml:space="preserve">Call USA Financial Services, Inc. at </w:t>
      </w:r>
      <w:r>
        <w:rPr>
          <w:b/>
          <w:color w:val="E21D2B"/>
        </w:rPr>
        <w:t>(850) 857-8447</w:t>
      </w:r>
      <w:r>
        <w:t xml:space="preserve"> for personal guidance.</w:t>
      </w:r>
    </w:p>
    <w:p>
      <w:pPr>
        <w:spacing w:before="100"/>
      </w:pPr>
      <w:r>
        <w:rPr>
          <w:color w:val="5B677A"/>
          <w:sz w:val="16"/>
        </w:rPr>
        <w:t>Reference sources: National Association of Insurance Commissioners (NAIC), HealthCare.gov and Medicare.gov. Definitions are paraphrased for readability.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80" w:bottom="893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77A"/>
        <w:sz w:val="16"/>
      </w:rPr>
      <w:t xml:space="preserve">USA Financial Services, Inc.  •  Pensacola, Florida  •  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center"/>
      <w:tblLayout w:type="fixed"/>
      <w:tblLook w:firstColumn="1" w:firstRow="1" w:lastColumn="0" w:lastRow="0" w:noHBand="0" w:noVBand="1" w:val="04A0"/>
      <w:tblInd w:w="0" w:type="dxa"/>
    </w:tblPr>
    <w:tblGrid>
      <w:gridCol w:w="5200"/>
      <w:gridCol w:w="4160"/>
    </w:tblGrid>
    <w:tr>
      <w:tc>
        <w:tcPr>
          <w:tcW w:type="dxa" w:w="5200"/>
          <w:tcMar>
            <w:top w:w="70" w:type="dxa"/>
            <w:start w:w="140" w:type="dxa"/>
            <w:bottom w:w="70" w:type="dxa"/>
            <w:end w:w="140" w:type="dxa"/>
          </w:tcMar>
        </w:tcPr>
        <w:p>
          <w:r>
            <w:drawing>
              <wp:inline xmlns:a="http://schemas.openxmlformats.org/drawingml/2006/main" xmlns:pic="http://schemas.openxmlformats.org/drawingml/2006/picture">
                <wp:extent cx="2423160" cy="72694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USA-Financial-Purpose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3160" cy="72694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160"/>
          <w:tcMar>
            <w:top w:w="70" w:type="dxa"/>
            <w:start w:w="140" w:type="dxa"/>
            <w:bottom w:w="70" w:type="dxa"/>
            <w:end w:w="140" w:type="dxa"/>
          </w:tcMar>
        </w:tcPr>
        <w:p>
          <w:pPr>
            <w:jc w:val="right"/>
          </w:pPr>
          <w:r>
            <w:rPr>
              <w:b/>
              <w:color w:val="052B63"/>
              <w:sz w:val="18"/>
            </w:rPr>
            <w:t>(850) 857-8447</w:t>
            <w:br/>
            <w:t>Dave@USAPensacola.com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ptos" w:hAnsi="Aptos"/>
      <w:color w:val="152238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52B6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52B6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52B63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